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E1626" w:rsidRPr="001E1626">
        <w:rPr>
          <w:rFonts w:ascii="Arial" w:eastAsia="宋体" w:hAnsi="Arial" w:cs="Arial"/>
          <w:b/>
          <w:sz w:val="24"/>
          <w:lang w:val="en-GB" w:eastAsia="ko-KR"/>
        </w:rPr>
        <w:t>R4-2100714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 xml:space="preserve">Discussion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Pr="001E1626">
        <w:rPr>
          <w:rFonts w:ascii="Arial" w:eastAsia="宋体" w:hAnsi="Arial" w:cs="Arial"/>
          <w:b/>
          <w:sz w:val="24"/>
          <w:lang w:val="en-GB"/>
        </w:rPr>
        <w:t>11</w:t>
      </w:r>
      <w:r w:rsidRPr="001E1626">
        <w:rPr>
          <w:rFonts w:ascii="Arial" w:eastAsia="宋体" w:hAnsi="Arial" w:cs="Arial" w:hint="eastAsia"/>
          <w:b/>
          <w:sz w:val="24"/>
          <w:lang w:val="en-GB"/>
        </w:rPr>
        <w:t>.</w:t>
      </w:r>
      <w:r w:rsidR="001E1626" w:rsidRPr="001E1626">
        <w:rPr>
          <w:rFonts w:ascii="Arial" w:eastAsia="宋体" w:hAnsi="Arial" w:cs="Arial"/>
          <w:b/>
          <w:sz w:val="24"/>
          <w:lang w:val="en-GB"/>
        </w:rPr>
        <w:t>8.</w:t>
      </w:r>
      <w:r w:rsidRPr="001E1626">
        <w:rPr>
          <w:rFonts w:ascii="Arial" w:eastAsia="宋体" w:hAnsi="Arial" w:cs="Arial"/>
          <w:b/>
          <w:sz w:val="24"/>
          <w:lang w:val="en-GB"/>
        </w:rPr>
        <w:t>4</w:t>
      </w:r>
      <w:r w:rsidRPr="001E1626">
        <w:rPr>
          <w:rFonts w:ascii="Arial" w:eastAsia="宋体" w:hAnsi="Arial" w:cs="Arial" w:hint="eastAsia"/>
          <w:b/>
          <w:sz w:val="24"/>
          <w:lang w:val="en-GB"/>
        </w:rPr>
        <w:t>.</w:t>
      </w:r>
      <w:r w:rsidRPr="001E1626">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597FEE">
        <w:rPr>
          <w:rFonts w:ascii="Times New Roman" w:hAnsi="Times New Roman" w:cs="Times New Roman"/>
          <w:sz w:val="20"/>
          <w:szCs w:val="20"/>
        </w:rPr>
        <w:t>n RAN#97</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597FEE">
        <w:rPr>
          <w:rFonts w:ascii="Times New Roman" w:hAnsi="Times New Roman" w:cs="Times New Roman"/>
          <w:sz w:val="20"/>
          <w:szCs w:val="20"/>
        </w:rPr>
        <w:t xml:space="preserve"> has some initial discussion on RRM requirement for NTN system, and the </w:t>
      </w:r>
      <w:r w:rsidR="00BF1EFC">
        <w:rPr>
          <w:rFonts w:ascii="Times New Roman" w:hAnsi="Times New Roman" w:cs="Times New Roman"/>
          <w:sz w:val="20"/>
          <w:szCs w:val="20"/>
        </w:rPr>
        <w:t>WF on NR NTN RRM requirements</w:t>
      </w:r>
      <w:r>
        <w:rPr>
          <w:rFonts w:ascii="Times New Roman" w:hAnsi="Times New Roman" w:cs="Times New Roman"/>
          <w:sz w:val="20"/>
          <w:szCs w:val="20"/>
        </w:rPr>
        <w:t xml:space="preserve"> was approved in [1]. And the</w:t>
      </w:r>
      <w:r w:rsidR="00BF1EFC">
        <w:rPr>
          <w:rFonts w:ascii="Times New Roman" w:hAnsi="Times New Roman" w:cs="Times New Roman"/>
          <w:sz w:val="20"/>
          <w:szCs w:val="20"/>
        </w:rPr>
        <w:t xml:space="preserve"> WF on timing</w:t>
      </w:r>
      <w:r>
        <w:rPr>
          <w:rFonts w:ascii="Times New Roman" w:hAnsi="Times New Roman" w:cs="Times New Roman"/>
          <w:sz w:val="20"/>
          <w:szCs w:val="20"/>
        </w:rPr>
        <w:t xml:space="preserve"> </w:t>
      </w:r>
      <w:r w:rsidR="00BF1EFC">
        <w:rPr>
          <w:rFonts w:ascii="Times New Roman" w:hAnsi="Times New Roman" w:cs="Times New Roman"/>
          <w:sz w:val="20"/>
          <w:szCs w:val="20"/>
        </w:rPr>
        <w:t xml:space="preserve">related </w:t>
      </w:r>
      <w:r>
        <w:rPr>
          <w:rFonts w:ascii="Times New Roman" w:hAnsi="Times New Roman" w:cs="Times New Roman"/>
          <w:sz w:val="20"/>
          <w:szCs w:val="20"/>
        </w:rPr>
        <w:t xml:space="preserve">requirements </w:t>
      </w:r>
      <w:r w:rsidR="00BF1EFC">
        <w:rPr>
          <w:rFonts w:ascii="Times New Roman" w:hAnsi="Times New Roman" w:cs="Times New Roman"/>
          <w:sz w:val="20"/>
          <w:szCs w:val="20"/>
        </w:rPr>
        <w:t>are copied as follows</w:t>
      </w:r>
      <w:r>
        <w:rPr>
          <w:rFonts w:ascii="Times New Roman" w:hAnsi="Times New Roman" w:cs="Times New Roman"/>
          <w:sz w:val="20"/>
          <w:szCs w:val="20"/>
        </w:rPr>
        <w:t>.</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0D163E" w:rsidRPr="009D6AD1" w:rsidRDefault="00BF1EFC" w:rsidP="00BF1EFC">
            <w:pPr>
              <w:pStyle w:val="a9"/>
              <w:spacing w:before="0" w:beforeAutospacing="0" w:after="120" w:afterAutospacing="0"/>
              <w:rPr>
                <w:bCs/>
                <w:kern w:val="24"/>
                <w:sz w:val="20"/>
                <w:szCs w:val="20"/>
                <w:lang w:val="en-GB"/>
              </w:rPr>
            </w:pPr>
            <w:r w:rsidRPr="00BF1EFC">
              <w:rPr>
                <w:bCs/>
                <w:kern w:val="24"/>
                <w:sz w:val="20"/>
                <w:szCs w:val="20"/>
              </w:rPr>
              <w:t>Topic #4: NTN UL Time synchronization requirements</w:t>
            </w:r>
          </w:p>
          <w:p w:rsidR="00972393" w:rsidRPr="00CA029F" w:rsidRDefault="009F31C5" w:rsidP="00CA029F">
            <w:pPr>
              <w:pStyle w:val="a7"/>
              <w:numPr>
                <w:ilvl w:val="0"/>
                <w:numId w:val="10"/>
              </w:numPr>
              <w:spacing w:after="120"/>
              <w:ind w:hanging="236"/>
              <w:rPr>
                <w:kern w:val="24"/>
                <w:sz w:val="20"/>
                <w:szCs w:val="20"/>
              </w:rPr>
            </w:pPr>
            <w:r w:rsidRPr="00CA029F">
              <w:rPr>
                <w:kern w:val="24"/>
                <w:sz w:val="20"/>
                <w:szCs w:val="20"/>
              </w:rPr>
              <w:t>The following requirements shall be defined but require RAN1 further progress</w:t>
            </w:r>
          </w:p>
          <w:p w:rsidR="00972393" w:rsidRPr="00BF1EFC" w:rsidRDefault="009F31C5" w:rsidP="00CA029F">
            <w:pPr>
              <w:pStyle w:val="a7"/>
              <w:numPr>
                <w:ilvl w:val="1"/>
                <w:numId w:val="3"/>
              </w:numPr>
              <w:tabs>
                <w:tab w:val="clear" w:pos="1440"/>
              </w:tabs>
              <w:spacing w:after="120"/>
              <w:ind w:left="751" w:hanging="284"/>
              <w:rPr>
                <w:kern w:val="24"/>
                <w:sz w:val="20"/>
                <w:szCs w:val="20"/>
              </w:rPr>
            </w:pPr>
            <w:r w:rsidRPr="00BF1EFC">
              <w:rPr>
                <w:kern w:val="24"/>
                <w:sz w:val="20"/>
                <w:szCs w:val="20"/>
              </w:rPr>
              <w:t>Timing Advance adjustment accuracy considering</w:t>
            </w:r>
          </w:p>
          <w:p w:rsidR="00972393" w:rsidRPr="00BF1EFC" w:rsidRDefault="009F31C5" w:rsidP="00CA029F">
            <w:pPr>
              <w:pStyle w:val="a7"/>
              <w:numPr>
                <w:ilvl w:val="1"/>
                <w:numId w:val="11"/>
              </w:numPr>
              <w:tabs>
                <w:tab w:val="clear" w:pos="1440"/>
                <w:tab w:val="num" w:pos="1034"/>
              </w:tabs>
              <w:spacing w:after="120"/>
              <w:ind w:left="1034" w:hanging="283"/>
              <w:rPr>
                <w:kern w:val="24"/>
                <w:sz w:val="20"/>
                <w:szCs w:val="20"/>
              </w:rPr>
            </w:pPr>
            <w:r w:rsidRPr="00BF1EFC">
              <w:rPr>
                <w:kern w:val="24"/>
                <w:sz w:val="20"/>
                <w:szCs w:val="20"/>
                <w:lang w:val="en-GB"/>
              </w:rPr>
              <w:t xml:space="preserve">At least the total error budget for regulating TA during a call: ΔUE-pos, ΔSat-pos, Timing Advance adjustment accuracy and TA command resolution error, </w:t>
            </w:r>
          </w:p>
          <w:p w:rsidR="00972393" w:rsidRPr="00BF1EFC" w:rsidRDefault="009F31C5" w:rsidP="00CA029F">
            <w:pPr>
              <w:pStyle w:val="a7"/>
              <w:numPr>
                <w:ilvl w:val="1"/>
                <w:numId w:val="11"/>
              </w:numPr>
              <w:tabs>
                <w:tab w:val="clear" w:pos="1440"/>
                <w:tab w:val="num" w:pos="1034"/>
              </w:tabs>
              <w:spacing w:after="120"/>
              <w:ind w:hanging="689"/>
              <w:rPr>
                <w:kern w:val="24"/>
                <w:sz w:val="20"/>
                <w:szCs w:val="20"/>
              </w:rPr>
            </w:pPr>
            <w:r w:rsidRPr="00BF1EFC">
              <w:rPr>
                <w:kern w:val="24"/>
                <w:sz w:val="20"/>
                <w:szCs w:val="20"/>
              </w:rPr>
              <w:t>FFS for other cases</w:t>
            </w:r>
          </w:p>
          <w:p w:rsidR="00972393" w:rsidRPr="00BF1EFC" w:rsidRDefault="009F31C5" w:rsidP="00CA029F">
            <w:pPr>
              <w:pStyle w:val="a7"/>
              <w:numPr>
                <w:ilvl w:val="1"/>
                <w:numId w:val="3"/>
              </w:numPr>
              <w:tabs>
                <w:tab w:val="clear" w:pos="1440"/>
              </w:tabs>
              <w:spacing w:after="120"/>
              <w:ind w:left="751" w:hanging="284"/>
              <w:rPr>
                <w:kern w:val="24"/>
                <w:sz w:val="20"/>
                <w:szCs w:val="20"/>
              </w:rPr>
            </w:pPr>
            <w:r w:rsidRPr="00BF1EFC">
              <w:rPr>
                <w:kern w:val="24"/>
                <w:sz w:val="20"/>
                <w:szCs w:val="20"/>
              </w:rPr>
              <w:t xml:space="preserve">Timing error limits &amp; </w:t>
            </w:r>
            <w:r w:rsidRPr="00CA029F">
              <w:rPr>
                <w:kern w:val="24"/>
                <w:sz w:val="20"/>
                <w:szCs w:val="20"/>
              </w:rPr>
              <w:t>UE Time alignment behaviour</w:t>
            </w:r>
          </w:p>
          <w:p w:rsidR="00972393" w:rsidRPr="00CA029F" w:rsidRDefault="009F31C5" w:rsidP="00CA029F">
            <w:pPr>
              <w:pStyle w:val="a7"/>
              <w:numPr>
                <w:ilvl w:val="1"/>
                <w:numId w:val="11"/>
              </w:numPr>
              <w:tabs>
                <w:tab w:val="clear" w:pos="1440"/>
                <w:tab w:val="num" w:pos="1034"/>
              </w:tabs>
              <w:spacing w:after="120"/>
              <w:ind w:left="1034" w:hanging="283"/>
              <w:rPr>
                <w:kern w:val="24"/>
                <w:sz w:val="20"/>
                <w:szCs w:val="20"/>
                <w:lang w:val="en-GB"/>
              </w:rPr>
            </w:pPr>
            <w:r w:rsidRPr="00CA029F">
              <w:rPr>
                <w:kern w:val="24"/>
                <w:sz w:val="20"/>
                <w:szCs w:val="20"/>
                <w:lang w:val="en-GB"/>
              </w:rPr>
              <w:t>More investigation required for timing error requirement;</w:t>
            </w:r>
          </w:p>
          <w:p w:rsidR="00972393" w:rsidRPr="00CA029F" w:rsidRDefault="009F31C5" w:rsidP="00CA029F">
            <w:pPr>
              <w:pStyle w:val="a7"/>
              <w:numPr>
                <w:ilvl w:val="1"/>
                <w:numId w:val="11"/>
              </w:numPr>
              <w:tabs>
                <w:tab w:val="clear" w:pos="1440"/>
                <w:tab w:val="num" w:pos="1034"/>
              </w:tabs>
              <w:spacing w:after="120"/>
              <w:ind w:left="1034" w:hanging="283"/>
              <w:rPr>
                <w:kern w:val="24"/>
                <w:sz w:val="20"/>
                <w:szCs w:val="20"/>
                <w:lang w:val="en-GB"/>
              </w:rPr>
            </w:pPr>
            <w:r w:rsidRPr="00CA029F">
              <w:rPr>
                <w:kern w:val="24"/>
                <w:sz w:val="20"/>
                <w:szCs w:val="20"/>
                <w:lang w:val="en-GB"/>
              </w:rPr>
              <w:t xml:space="preserve">FFS: at least </w:t>
            </w:r>
            <w:r w:rsidRPr="00BF1EFC">
              <w:rPr>
                <w:kern w:val="24"/>
                <w:sz w:val="20"/>
                <w:szCs w:val="20"/>
                <w:lang w:val="en-GB"/>
              </w:rPr>
              <w:t>CP will have to be preserved.</w:t>
            </w:r>
          </w:p>
          <w:p w:rsidR="00972393" w:rsidRPr="00BF1EFC" w:rsidRDefault="009F31C5" w:rsidP="00CA029F">
            <w:pPr>
              <w:pStyle w:val="a7"/>
              <w:numPr>
                <w:ilvl w:val="1"/>
                <w:numId w:val="3"/>
              </w:numPr>
              <w:tabs>
                <w:tab w:val="clear" w:pos="1440"/>
              </w:tabs>
              <w:spacing w:after="120"/>
              <w:ind w:left="751" w:hanging="284"/>
              <w:rPr>
                <w:kern w:val="24"/>
                <w:sz w:val="20"/>
                <w:szCs w:val="20"/>
              </w:rPr>
            </w:pPr>
            <w:r w:rsidRPr="00BF1EFC">
              <w:rPr>
                <w:kern w:val="24"/>
                <w:sz w:val="20"/>
                <w:szCs w:val="20"/>
              </w:rPr>
              <w:t>Timing Issues and Requirements for UE with 2 feeder-links</w:t>
            </w:r>
          </w:p>
          <w:p w:rsidR="000D163E" w:rsidRPr="00CA029F" w:rsidRDefault="009F31C5" w:rsidP="00CA029F">
            <w:pPr>
              <w:pStyle w:val="a7"/>
              <w:numPr>
                <w:ilvl w:val="1"/>
                <w:numId w:val="11"/>
              </w:numPr>
              <w:tabs>
                <w:tab w:val="clear" w:pos="1440"/>
                <w:tab w:val="num" w:pos="1034"/>
              </w:tabs>
              <w:spacing w:after="120"/>
              <w:ind w:left="1034" w:hanging="283"/>
              <w:rPr>
                <w:kern w:val="24"/>
                <w:sz w:val="20"/>
                <w:szCs w:val="20"/>
                <w:lang w:val="en-GB"/>
              </w:rPr>
            </w:pPr>
            <w:r w:rsidRPr="00CA029F">
              <w:rPr>
                <w:kern w:val="24"/>
                <w:sz w:val="20"/>
                <w:szCs w:val="20"/>
                <w:lang w:val="en-GB"/>
              </w:rPr>
              <w:t>Service link related, and depending if the feeder-link switch is soft or hard.</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CA029F">
        <w:rPr>
          <w:rFonts w:ascii="Times New Roman" w:hAnsi="Times New Roman" w:cs="Times New Roman"/>
          <w:sz w:val="20"/>
          <w:szCs w:val="20"/>
        </w:rPr>
        <w:t xml:space="preserve">NTN system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990428" w:rsidRPr="00990428" w:rsidRDefault="00990428" w:rsidP="00CA029F">
      <w:pPr>
        <w:rPr>
          <w:rFonts w:ascii="Times New Roman" w:hAnsi="Times New Roman" w:cs="Times New Roman"/>
          <w:b/>
          <w:sz w:val="20"/>
          <w:szCs w:val="20"/>
          <w:u w:val="single"/>
        </w:rPr>
      </w:pPr>
      <w:r w:rsidRPr="00990428">
        <w:rPr>
          <w:rFonts w:ascii="Times New Roman" w:hAnsi="Times New Roman" w:cs="Times New Roman" w:hint="eastAsia"/>
          <w:b/>
          <w:sz w:val="20"/>
          <w:szCs w:val="20"/>
          <w:u w:val="single"/>
        </w:rPr>
        <w:t>T</w:t>
      </w:r>
      <w:r w:rsidRPr="00990428">
        <w:rPr>
          <w:rFonts w:ascii="Times New Roman" w:hAnsi="Times New Roman" w:cs="Times New Roman"/>
          <w:b/>
          <w:sz w:val="20"/>
          <w:szCs w:val="20"/>
          <w:u w:val="single"/>
        </w:rPr>
        <w:t>A estimation accuracy</w:t>
      </w:r>
    </w:p>
    <w:p w:rsidR="000F209F" w:rsidRDefault="00C00804" w:rsidP="00CA029F">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RAN1, the enhancement on UL time synchronization for NTN was discussed for UE pre-compensation of large propagation delay. And it was agreed the NTN UE </w:t>
      </w:r>
      <w:r w:rsidR="009E3E5F">
        <w:rPr>
          <w:rFonts w:ascii="Times New Roman" w:hAnsi="Times New Roman" w:cs="Times New Roman"/>
          <w:sz w:val="20"/>
          <w:szCs w:val="20"/>
        </w:rPr>
        <w:t>shall support UE specific TA calculation for initial PRACH</w:t>
      </w:r>
      <w:r w:rsidR="000F209F">
        <w:rPr>
          <w:rFonts w:ascii="Times New Roman" w:hAnsi="Times New Roman" w:cs="Times New Roman"/>
          <w:sz w:val="20"/>
          <w:szCs w:val="20"/>
        </w:rPr>
        <w:t>. RAN1 has reached</w:t>
      </w:r>
      <w:r>
        <w:rPr>
          <w:rFonts w:ascii="Times New Roman" w:hAnsi="Times New Roman" w:cs="Times New Roman"/>
          <w:sz w:val="20"/>
          <w:szCs w:val="20"/>
        </w:rPr>
        <w:t xml:space="preserve"> the following agreement.</w:t>
      </w:r>
    </w:p>
    <w:tbl>
      <w:tblPr>
        <w:tblW w:w="829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0F209F" w:rsidTr="000F209F">
        <w:trPr>
          <w:trHeight w:val="784"/>
        </w:trPr>
        <w:tc>
          <w:tcPr>
            <w:tcW w:w="8290" w:type="dxa"/>
          </w:tcPr>
          <w:p w:rsidR="000F209F" w:rsidRPr="00B32D10" w:rsidRDefault="000F209F" w:rsidP="000F209F">
            <w:pPr>
              <w:rPr>
                <w:rFonts w:ascii="Times New Roman" w:hAnsi="Times New Roman"/>
                <w:szCs w:val="20"/>
                <w:lang w:eastAsia="x-none"/>
              </w:rPr>
            </w:pPr>
            <w:r w:rsidRPr="00B32D10">
              <w:rPr>
                <w:rFonts w:ascii="Times New Roman" w:hAnsi="Times New Roman"/>
                <w:szCs w:val="20"/>
                <w:highlight w:val="green"/>
                <w:lang w:eastAsia="x-none"/>
              </w:rPr>
              <w:t>Agreement:</w:t>
            </w:r>
          </w:p>
          <w:p w:rsidR="000F209F" w:rsidRPr="000F209F" w:rsidRDefault="000F209F" w:rsidP="000F209F">
            <w:pPr>
              <w:rPr>
                <w:rFonts w:ascii="Times New Roman" w:hAnsi="Times New Roman"/>
                <w:szCs w:val="20"/>
                <w:lang w:eastAsia="x-none"/>
              </w:rPr>
            </w:pPr>
            <w:r w:rsidRPr="00B32D10">
              <w:rPr>
                <w:rFonts w:ascii="Times New Roman" w:hAnsi="Times New Roman"/>
                <w:szCs w:val="20"/>
                <w:lang w:eastAsia="x-none"/>
              </w:rPr>
              <w:t>An NTN UE in RRC_IDLE and RRC_INACTIVE states is required to at least support UE specific TA calculation based at least on its GNSS-acquired position and the serving satellite ephemeris.</w:t>
            </w:r>
          </w:p>
        </w:tc>
      </w:tr>
    </w:tbl>
    <w:p w:rsidR="000F209F" w:rsidRDefault="00947FF9" w:rsidP="00CA029F">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iming advance is to hold the uplink slot boundaries for a given numerology from different UE within a cell are approximately time aligned at the base station side. More specifically, any timing misalignment be different UE in one cell should be within the CP. Thus, </w:t>
      </w:r>
      <w:r w:rsidR="00073B49">
        <w:rPr>
          <w:rFonts w:ascii="Times New Roman" w:hAnsi="Times New Roman" w:cs="Times New Roman"/>
          <w:sz w:val="20"/>
          <w:szCs w:val="20"/>
        </w:rPr>
        <w:t xml:space="preserve">it is necessary to introduce the accuracy requirement to guarantee </w:t>
      </w:r>
      <w:r>
        <w:rPr>
          <w:rFonts w:ascii="Times New Roman" w:hAnsi="Times New Roman" w:cs="Times New Roman"/>
          <w:sz w:val="20"/>
          <w:szCs w:val="20"/>
        </w:rPr>
        <w:t xml:space="preserve">the </w:t>
      </w:r>
      <w:r w:rsidR="00073B49">
        <w:rPr>
          <w:rFonts w:ascii="Times New Roman" w:hAnsi="Times New Roman" w:cs="Times New Roman"/>
          <w:sz w:val="20"/>
          <w:szCs w:val="20"/>
        </w:rPr>
        <w:t xml:space="preserve">calculated </w:t>
      </w:r>
      <w:r>
        <w:rPr>
          <w:rFonts w:ascii="Times New Roman" w:hAnsi="Times New Roman" w:cs="Times New Roman"/>
          <w:sz w:val="20"/>
          <w:szCs w:val="20"/>
        </w:rPr>
        <w:t xml:space="preserve">UE specific TA applied by the UE </w:t>
      </w:r>
      <w:r w:rsidR="00073B49">
        <w:rPr>
          <w:rFonts w:ascii="Times New Roman" w:hAnsi="Times New Roman" w:cs="Times New Roman"/>
          <w:sz w:val="20"/>
          <w:szCs w:val="20"/>
        </w:rPr>
        <w:t xml:space="preserve">is accuracy enough </w:t>
      </w:r>
      <w:r w:rsidR="00D70A41">
        <w:rPr>
          <w:rFonts w:ascii="Times New Roman" w:hAnsi="Times New Roman" w:cs="Times New Roman"/>
          <w:sz w:val="20"/>
          <w:szCs w:val="20"/>
        </w:rPr>
        <w:t>for initial PRACH transmission.</w:t>
      </w:r>
      <w:r w:rsidR="004078C7">
        <w:rPr>
          <w:rFonts w:ascii="Times New Roman" w:hAnsi="Times New Roman" w:cs="Times New Roman"/>
          <w:sz w:val="20"/>
          <w:szCs w:val="20"/>
        </w:rPr>
        <w:t xml:space="preserve"> </w:t>
      </w:r>
      <w:r w:rsidR="00121471">
        <w:rPr>
          <w:rFonts w:ascii="Times New Roman" w:hAnsi="Times New Roman" w:cs="Times New Roman"/>
          <w:sz w:val="20"/>
          <w:szCs w:val="20"/>
        </w:rPr>
        <w:t xml:space="preserve">According to RAN1’s agreement, the UE specific TA is calculated based on UE’s GNSS-acquired position and the serving satellite ephemeris. </w:t>
      </w:r>
      <w:r w:rsidR="00385FC6">
        <w:rPr>
          <w:rFonts w:ascii="Times New Roman" w:hAnsi="Times New Roman" w:cs="Times New Roman"/>
          <w:sz w:val="20"/>
          <w:szCs w:val="20"/>
        </w:rPr>
        <w:t xml:space="preserve">Hence, the accuracy of UE specific TA </w:t>
      </w:r>
      <w:r w:rsidR="00385FC6">
        <w:rPr>
          <w:rFonts w:ascii="Times New Roman" w:hAnsi="Times New Roman" w:cs="Times New Roman"/>
          <w:sz w:val="20"/>
          <w:szCs w:val="20"/>
        </w:rPr>
        <w:lastRenderedPageBreak/>
        <w:t>estimation may depend on the accuracy of GNSS positioning and the accuracy of ephemeris information calculation. However, the GNSS positioning and satellite ephemeris calculation is out of 3GPP scope, it is FFS in RAN4 to introduce the accuracy requirement for GNSS positioning and ephemeris information calculation</w:t>
      </w:r>
      <w:r w:rsidR="00385FC6">
        <w:rPr>
          <w:rFonts w:ascii="Times New Roman" w:hAnsi="Times New Roman" w:cs="Times New Roman" w:hint="eastAsia"/>
          <w:sz w:val="20"/>
          <w:szCs w:val="20"/>
        </w:rPr>
        <w:t>.</w:t>
      </w:r>
    </w:p>
    <w:p w:rsidR="00385FC6" w:rsidRPr="00385FC6" w:rsidRDefault="00385FC6" w:rsidP="00385FC6">
      <w:pPr>
        <w:spacing w:before="240" w:after="240"/>
        <w:rPr>
          <w:rFonts w:ascii="Times New Roman" w:hAnsi="Times New Roman" w:cs="Times New Roman"/>
          <w:b/>
          <w:sz w:val="20"/>
          <w:szCs w:val="20"/>
        </w:rPr>
      </w:pPr>
      <w:r w:rsidRPr="00385FC6">
        <w:rPr>
          <w:rFonts w:ascii="Times New Roman" w:hAnsi="Times New Roman" w:cs="Times New Roman"/>
          <w:b/>
          <w:sz w:val="20"/>
          <w:szCs w:val="20"/>
        </w:rPr>
        <w:t>Observation 1: The accuracy of UE specific TA estimation may depend on the accuracy of GNSS positioning and the accuracy of ephemeris information calculation.</w:t>
      </w:r>
    </w:p>
    <w:p w:rsidR="004078C7" w:rsidRPr="00385FC6" w:rsidRDefault="004078C7" w:rsidP="00990428">
      <w:pPr>
        <w:spacing w:after="240"/>
        <w:rPr>
          <w:rFonts w:ascii="Times New Roman" w:hAnsi="Times New Roman" w:cs="Times New Roman"/>
          <w:b/>
          <w:sz w:val="20"/>
          <w:szCs w:val="20"/>
        </w:rPr>
      </w:pPr>
      <w:r w:rsidRPr="00385FC6">
        <w:rPr>
          <w:rFonts w:ascii="Times New Roman" w:hAnsi="Times New Roman" w:cs="Times New Roman"/>
          <w:b/>
          <w:sz w:val="20"/>
          <w:szCs w:val="20"/>
        </w:rPr>
        <w:t xml:space="preserve">Proposal 1: </w:t>
      </w:r>
      <w:r w:rsidR="00121471" w:rsidRPr="00385FC6">
        <w:rPr>
          <w:rFonts w:ascii="Times New Roman" w:hAnsi="Times New Roman" w:cs="Times New Roman"/>
          <w:b/>
          <w:sz w:val="20"/>
          <w:szCs w:val="20"/>
        </w:rPr>
        <w:t>RAN4 is to i</w:t>
      </w:r>
      <w:r w:rsidRPr="00385FC6">
        <w:rPr>
          <w:rFonts w:ascii="Times New Roman" w:hAnsi="Times New Roman" w:cs="Times New Roman"/>
          <w:b/>
          <w:sz w:val="20"/>
          <w:szCs w:val="20"/>
        </w:rPr>
        <w:t>ntroduce the accuracy requirement for the UE specific TA estimation for an NTN UE in RRC_idle and RRC_inactive mode.</w:t>
      </w:r>
    </w:p>
    <w:p w:rsidR="00E41564" w:rsidRPr="00990428" w:rsidRDefault="00990428" w:rsidP="00CA029F">
      <w:pPr>
        <w:rPr>
          <w:rFonts w:ascii="Times New Roman" w:hAnsi="Times New Roman" w:cs="Times New Roman"/>
          <w:b/>
          <w:sz w:val="20"/>
          <w:szCs w:val="20"/>
          <w:u w:val="single"/>
        </w:rPr>
      </w:pPr>
      <w:r w:rsidRPr="00990428">
        <w:rPr>
          <w:rFonts w:ascii="Times New Roman" w:hAnsi="Times New Roman" w:cs="Times New Roman" w:hint="eastAsia"/>
          <w:b/>
          <w:sz w:val="20"/>
          <w:szCs w:val="20"/>
          <w:u w:val="single"/>
        </w:rPr>
        <w:t>T</w:t>
      </w:r>
      <w:r w:rsidRPr="00990428">
        <w:rPr>
          <w:rFonts w:ascii="Times New Roman" w:hAnsi="Times New Roman" w:cs="Times New Roman"/>
          <w:b/>
          <w:sz w:val="20"/>
          <w:szCs w:val="20"/>
          <w:u w:val="single"/>
        </w:rPr>
        <w:t>A adjustment accuracy</w:t>
      </w:r>
    </w:p>
    <w:p w:rsidR="00E41564" w:rsidRDefault="00D568EC" w:rsidP="00CA029F">
      <w:pPr>
        <w:rPr>
          <w:rFonts w:ascii="Times New Roman" w:hAnsi="Times New Roman" w:cs="Times New Roman"/>
          <w:sz w:val="20"/>
          <w:szCs w:val="20"/>
        </w:rPr>
      </w:pPr>
      <w:r>
        <w:rPr>
          <w:rFonts w:ascii="Times New Roman" w:hAnsi="Times New Roman" w:cs="Times New Roman"/>
          <w:sz w:val="20"/>
          <w:szCs w:val="20"/>
        </w:rPr>
        <w:t>The timing advance adjustment accuracy is specified in section 7.3.2.2 in TS38.133:</w:t>
      </w:r>
    </w:p>
    <w:p w:rsidR="00D568EC" w:rsidRPr="00D568EC" w:rsidRDefault="00D568EC" w:rsidP="00D568EC">
      <w:pPr>
        <w:rPr>
          <w:rFonts w:ascii="Times New Roman" w:hAnsi="Times New Roman" w:cs="Times New Roman"/>
          <w:i/>
          <w:sz w:val="20"/>
          <w:szCs w:val="20"/>
        </w:rPr>
      </w:pPr>
      <w:r w:rsidRPr="00D568EC">
        <w:rPr>
          <w:rFonts w:ascii="Times New Roman" w:hAnsi="Times New Roman" w:cs="Times New Roman"/>
          <w:i/>
          <w:sz w:val="20"/>
          <w:szCs w:val="20"/>
        </w:rPr>
        <w:t>The UE shall adjust the timing of its transmissions with a relative accuracy better than or equal to the UE Timing Advance adjustment accuracy requirement in Table 7.3.2.2-1, to the signalled timing advance value compared to the timing of preceding uplink transmission. The timing advance command step is defined in TS 38.213 [3].</w:t>
      </w:r>
    </w:p>
    <w:p w:rsidR="00D568EC" w:rsidRPr="00D568EC" w:rsidRDefault="00D568EC" w:rsidP="00D568EC">
      <w:pPr>
        <w:pStyle w:val="TH"/>
        <w:rPr>
          <w:b w:val="0"/>
          <w:lang w:val="en-US"/>
        </w:rPr>
      </w:pPr>
      <w:r w:rsidRPr="00D568EC">
        <w:rPr>
          <w:b w:val="0"/>
        </w:rPr>
        <w:t>Table 7.3.2.2-</w:t>
      </w:r>
      <w:r w:rsidRPr="00D568EC">
        <w:rPr>
          <w:b w:val="0"/>
          <w:lang w:eastAsia="ja-JP"/>
        </w:rPr>
        <w:t>1</w:t>
      </w:r>
      <w:r w:rsidRPr="00D568EC">
        <w:rPr>
          <w:b w:val="0"/>
        </w:rPr>
        <w:t xml:space="preserve">: </w:t>
      </w:r>
      <w:r w:rsidRPr="00D568EC">
        <w:rPr>
          <w:b w:val="0"/>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568EC" w:rsidRPr="00D568EC" w:rsidTr="00AA7488">
        <w:trPr>
          <w:trHeight w:val="315"/>
          <w:jc w:val="center"/>
        </w:trPr>
        <w:tc>
          <w:tcPr>
            <w:tcW w:w="2260" w:type="dxa"/>
            <w:shd w:val="clear" w:color="auto" w:fill="auto"/>
            <w:hideMark/>
          </w:tcPr>
          <w:p w:rsidR="00D568EC" w:rsidRPr="00D568EC" w:rsidRDefault="00D568EC" w:rsidP="00AA7488">
            <w:pPr>
              <w:pStyle w:val="TAH"/>
              <w:rPr>
                <w:b w:val="0"/>
              </w:rPr>
            </w:pPr>
            <w:r w:rsidRPr="00D568EC">
              <w:rPr>
                <w:b w:val="0"/>
              </w:rPr>
              <w:t>UL Sub Carrier Spacing(kHz)</w:t>
            </w:r>
          </w:p>
        </w:tc>
        <w:tc>
          <w:tcPr>
            <w:tcW w:w="982" w:type="dxa"/>
            <w:shd w:val="clear" w:color="auto" w:fill="auto"/>
            <w:vAlign w:val="center"/>
            <w:hideMark/>
          </w:tcPr>
          <w:p w:rsidR="00D568EC" w:rsidRPr="00D568EC" w:rsidRDefault="00D568EC" w:rsidP="00AA7488">
            <w:pPr>
              <w:pStyle w:val="TAH"/>
              <w:rPr>
                <w:b w:val="0"/>
                <w:lang w:val="en-US"/>
              </w:rPr>
            </w:pPr>
            <w:r w:rsidRPr="00D568EC">
              <w:rPr>
                <w:b w:val="0"/>
              </w:rPr>
              <w:t>15</w:t>
            </w:r>
          </w:p>
        </w:tc>
        <w:tc>
          <w:tcPr>
            <w:tcW w:w="1002" w:type="dxa"/>
            <w:shd w:val="clear" w:color="auto" w:fill="auto"/>
            <w:vAlign w:val="center"/>
            <w:hideMark/>
          </w:tcPr>
          <w:p w:rsidR="00D568EC" w:rsidRPr="00D568EC" w:rsidRDefault="00D568EC" w:rsidP="00AA7488">
            <w:pPr>
              <w:pStyle w:val="TAH"/>
              <w:rPr>
                <w:b w:val="0"/>
                <w:lang w:val="en-US"/>
              </w:rPr>
            </w:pPr>
            <w:r w:rsidRPr="00D568EC">
              <w:rPr>
                <w:b w:val="0"/>
              </w:rPr>
              <w:t>30</w:t>
            </w:r>
          </w:p>
        </w:tc>
        <w:tc>
          <w:tcPr>
            <w:tcW w:w="992" w:type="dxa"/>
            <w:shd w:val="clear" w:color="auto" w:fill="auto"/>
            <w:vAlign w:val="center"/>
            <w:hideMark/>
          </w:tcPr>
          <w:p w:rsidR="00D568EC" w:rsidRPr="00D568EC" w:rsidRDefault="00D568EC" w:rsidP="00AA7488">
            <w:pPr>
              <w:pStyle w:val="TAH"/>
              <w:rPr>
                <w:b w:val="0"/>
                <w:lang w:val="en-US"/>
              </w:rPr>
            </w:pPr>
            <w:r w:rsidRPr="00D568EC">
              <w:rPr>
                <w:b w:val="0"/>
              </w:rPr>
              <w:t>60</w:t>
            </w:r>
          </w:p>
        </w:tc>
        <w:tc>
          <w:tcPr>
            <w:tcW w:w="1134" w:type="dxa"/>
            <w:shd w:val="clear" w:color="auto" w:fill="auto"/>
            <w:vAlign w:val="center"/>
            <w:hideMark/>
          </w:tcPr>
          <w:p w:rsidR="00D568EC" w:rsidRPr="00D568EC" w:rsidRDefault="00D568EC" w:rsidP="00AA7488">
            <w:pPr>
              <w:pStyle w:val="TAH"/>
              <w:rPr>
                <w:b w:val="0"/>
                <w:lang w:val="en-US"/>
              </w:rPr>
            </w:pPr>
            <w:r w:rsidRPr="00D568EC">
              <w:rPr>
                <w:b w:val="0"/>
              </w:rPr>
              <w:t>120</w:t>
            </w:r>
          </w:p>
        </w:tc>
      </w:tr>
      <w:tr w:rsidR="00D568EC" w:rsidRPr="00D568EC" w:rsidTr="00AA7488">
        <w:trPr>
          <w:trHeight w:val="525"/>
          <w:jc w:val="center"/>
        </w:trPr>
        <w:tc>
          <w:tcPr>
            <w:tcW w:w="2260" w:type="dxa"/>
            <w:shd w:val="clear" w:color="auto" w:fill="auto"/>
            <w:hideMark/>
          </w:tcPr>
          <w:p w:rsidR="00D568EC" w:rsidRPr="00D568EC" w:rsidRDefault="00D568EC" w:rsidP="00AA7488">
            <w:pPr>
              <w:pStyle w:val="TAH"/>
              <w:rPr>
                <w:b w:val="0"/>
              </w:rPr>
            </w:pPr>
            <w:r w:rsidRPr="00D568EC">
              <w:rPr>
                <w:b w:val="0"/>
              </w:rPr>
              <w:t>UE Timing Advance adjustment accuracy</w:t>
            </w:r>
          </w:p>
        </w:tc>
        <w:tc>
          <w:tcPr>
            <w:tcW w:w="982" w:type="dxa"/>
            <w:shd w:val="clear" w:color="auto" w:fill="auto"/>
            <w:vAlign w:val="center"/>
            <w:hideMark/>
          </w:tcPr>
          <w:p w:rsidR="00D568EC" w:rsidRPr="00D568EC" w:rsidRDefault="00D568EC" w:rsidP="00AA7488">
            <w:pPr>
              <w:pStyle w:val="TAC"/>
              <w:rPr>
                <w:lang w:val="en-US"/>
              </w:rPr>
            </w:pPr>
            <w:r w:rsidRPr="00D568EC">
              <w:rPr>
                <w:szCs w:val="22"/>
                <w:lang w:val="en-US"/>
              </w:rPr>
              <w:t>±</w:t>
            </w:r>
            <w:r w:rsidRPr="00D568EC">
              <w:t>256 T</w:t>
            </w:r>
            <w:r w:rsidRPr="00D568EC">
              <w:rPr>
                <w:vertAlign w:val="subscript"/>
              </w:rPr>
              <w:t>c</w:t>
            </w:r>
          </w:p>
        </w:tc>
        <w:tc>
          <w:tcPr>
            <w:tcW w:w="1002" w:type="dxa"/>
            <w:shd w:val="clear" w:color="auto" w:fill="auto"/>
            <w:vAlign w:val="center"/>
            <w:hideMark/>
          </w:tcPr>
          <w:p w:rsidR="00D568EC" w:rsidRPr="00D568EC" w:rsidRDefault="00D568EC" w:rsidP="00AA7488">
            <w:pPr>
              <w:pStyle w:val="TAC"/>
              <w:rPr>
                <w:lang w:val="en-US"/>
              </w:rPr>
            </w:pPr>
            <w:r w:rsidRPr="00D568EC">
              <w:rPr>
                <w:szCs w:val="22"/>
                <w:lang w:val="en-US"/>
              </w:rPr>
              <w:t>±</w:t>
            </w:r>
            <w:r w:rsidRPr="00D568EC">
              <w:t>256 T</w:t>
            </w:r>
            <w:r w:rsidRPr="00D568EC">
              <w:rPr>
                <w:vertAlign w:val="subscript"/>
              </w:rPr>
              <w:t>c</w:t>
            </w:r>
          </w:p>
        </w:tc>
        <w:tc>
          <w:tcPr>
            <w:tcW w:w="992" w:type="dxa"/>
            <w:shd w:val="clear" w:color="auto" w:fill="auto"/>
            <w:vAlign w:val="center"/>
            <w:hideMark/>
          </w:tcPr>
          <w:p w:rsidR="00D568EC" w:rsidRPr="00D568EC" w:rsidRDefault="00D568EC" w:rsidP="00AA7488">
            <w:pPr>
              <w:pStyle w:val="TAC"/>
              <w:rPr>
                <w:lang w:val="en-US"/>
              </w:rPr>
            </w:pPr>
            <w:r w:rsidRPr="00D568EC">
              <w:rPr>
                <w:szCs w:val="22"/>
                <w:lang w:val="en-US"/>
              </w:rPr>
              <w:t>±</w:t>
            </w:r>
            <w:r w:rsidRPr="00D568EC">
              <w:t>128 T</w:t>
            </w:r>
            <w:r w:rsidRPr="00D568EC">
              <w:rPr>
                <w:vertAlign w:val="subscript"/>
              </w:rPr>
              <w:t>c</w:t>
            </w:r>
          </w:p>
        </w:tc>
        <w:tc>
          <w:tcPr>
            <w:tcW w:w="1134" w:type="dxa"/>
            <w:shd w:val="clear" w:color="auto" w:fill="auto"/>
            <w:vAlign w:val="center"/>
            <w:hideMark/>
          </w:tcPr>
          <w:p w:rsidR="00D568EC" w:rsidRPr="00D568EC" w:rsidRDefault="00D568EC" w:rsidP="00AA7488">
            <w:pPr>
              <w:pStyle w:val="TAC"/>
              <w:rPr>
                <w:lang w:val="en-US"/>
              </w:rPr>
            </w:pPr>
            <w:r w:rsidRPr="00D568EC">
              <w:rPr>
                <w:szCs w:val="22"/>
                <w:lang w:val="en-US"/>
              </w:rPr>
              <w:t>±</w:t>
            </w:r>
            <w:r w:rsidRPr="00D568EC">
              <w:t>32 T</w:t>
            </w:r>
            <w:r w:rsidRPr="00D568EC">
              <w:rPr>
                <w:vertAlign w:val="subscript"/>
              </w:rPr>
              <w:t>c</w:t>
            </w:r>
          </w:p>
        </w:tc>
      </w:tr>
    </w:tbl>
    <w:p w:rsidR="00D568EC" w:rsidRDefault="00D568EC" w:rsidP="00CA029F">
      <w:pPr>
        <w:rPr>
          <w:rFonts w:ascii="Times New Roman" w:hAnsi="Times New Roman" w:cs="Times New Roman"/>
          <w:sz w:val="20"/>
          <w:szCs w:val="20"/>
        </w:rPr>
      </w:pPr>
    </w:p>
    <w:p w:rsidR="000B20B7" w:rsidRDefault="00D568EC" w:rsidP="00CA029F">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table above, it is observed that the defined UE timing advance adjustment accuracy </w:t>
      </w:r>
      <w:r w:rsidR="00FF4A7C">
        <w:rPr>
          <w:rFonts w:ascii="Times New Roman" w:hAnsi="Times New Roman" w:cs="Times New Roman"/>
          <w:sz w:val="20"/>
          <w:szCs w:val="20"/>
        </w:rPr>
        <w:t>is proportional scaling with the SCS.</w:t>
      </w:r>
      <w:r w:rsidR="00CF4029">
        <w:rPr>
          <w:rFonts w:ascii="Times New Roman" w:hAnsi="Times New Roman" w:cs="Times New Roman"/>
          <w:sz w:val="20"/>
          <w:szCs w:val="20"/>
        </w:rPr>
        <w:t xml:space="preserve"> </w:t>
      </w:r>
      <w:r w:rsidR="00CA22C7">
        <w:rPr>
          <w:rFonts w:ascii="Times New Roman" w:hAnsi="Times New Roman" w:cs="Times New Roman"/>
          <w:sz w:val="20"/>
          <w:szCs w:val="20"/>
        </w:rPr>
        <w:t xml:space="preserve">The TA adjustment </w:t>
      </w:r>
      <w:r w:rsidR="00990428">
        <w:rPr>
          <w:rFonts w:ascii="Times New Roman" w:hAnsi="Times New Roman" w:cs="Times New Roman"/>
          <w:sz w:val="20"/>
          <w:szCs w:val="20"/>
        </w:rPr>
        <w:t xml:space="preserve">change </w:t>
      </w:r>
      <w:r w:rsidR="00CA22C7">
        <w:rPr>
          <w:rFonts w:ascii="Times New Roman" w:hAnsi="Times New Roman" w:cs="Times New Roman"/>
          <w:sz w:val="20"/>
          <w:szCs w:val="20"/>
        </w:rPr>
        <w:t xml:space="preserve">step is defined as </w:t>
      </w:r>
      <w:r w:rsidR="00CA22C7" w:rsidRPr="00CA22C7">
        <w:rPr>
          <w:rFonts w:ascii="Times New Roman" w:hAnsi="Times New Roman" w:cs="Times New Roman"/>
          <w:noProof/>
          <w:sz w:val="20"/>
          <w:szCs w:val="20"/>
        </w:rPr>
        <w:drawing>
          <wp:inline distT="0" distB="0" distL="0" distR="0" wp14:anchorId="15BEAB02" wp14:editId="4EB32D37">
            <wp:extent cx="734695" cy="211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sidR="00CA22C7">
        <w:rPr>
          <w:rFonts w:ascii="Times New Roman" w:hAnsi="Times New Roman" w:cs="Times New Roman"/>
          <w:sz w:val="20"/>
          <w:szCs w:val="20"/>
        </w:rPr>
        <w:t xml:space="preserve">for a SCS of </w:t>
      </w:r>
      <w:r w:rsidR="00CA22C7" w:rsidRPr="00CA22C7">
        <w:rPr>
          <w:rFonts w:ascii="Times New Roman" w:hAnsi="Times New Roman" w:cs="Times New Roman"/>
          <w:noProof/>
          <w:sz w:val="20"/>
          <w:szCs w:val="20"/>
        </w:rPr>
        <w:drawing>
          <wp:inline distT="0" distB="0" distL="0" distR="0" wp14:anchorId="60A80D88" wp14:editId="2A1C0628">
            <wp:extent cx="380365" cy="1905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r w:rsidR="00CA22C7">
        <w:rPr>
          <w:rFonts w:ascii="Times New Roman" w:hAnsi="Times New Roman" w:cs="Times New Roman"/>
          <w:sz w:val="20"/>
          <w:szCs w:val="20"/>
        </w:rPr>
        <w:t xml:space="preserve">kHz, and the TA adjustment accuracy is specified as </w:t>
      </w:r>
      <w:r w:rsidR="00CA22C7" w:rsidRPr="003771F7">
        <w:rPr>
          <w:rFonts w:ascii="Times New Roman" w:hAnsi="Times New Roman" w:cs="Times New Roman"/>
          <w:sz w:val="20"/>
          <w:szCs w:val="20"/>
        </w:rPr>
        <w:t xml:space="preserve">±1/4 </w:t>
      </w:r>
      <w:r w:rsidR="00990428" w:rsidRPr="003771F7">
        <w:rPr>
          <w:rFonts w:ascii="Times New Roman" w:hAnsi="Times New Roman" w:cs="Times New Roman"/>
          <w:sz w:val="20"/>
          <w:szCs w:val="20"/>
        </w:rPr>
        <w:t xml:space="preserve">of </w:t>
      </w:r>
      <w:r w:rsidR="00CA22C7" w:rsidRPr="003771F7">
        <w:rPr>
          <w:rFonts w:ascii="Times New Roman" w:hAnsi="Times New Roman" w:cs="Times New Roman"/>
          <w:sz w:val="20"/>
          <w:szCs w:val="20"/>
        </w:rPr>
        <w:t>TA adjustment step.</w:t>
      </w:r>
      <w:r w:rsidR="00E50FE5" w:rsidRPr="003771F7">
        <w:rPr>
          <w:rFonts w:ascii="Times New Roman" w:hAnsi="Times New Roman" w:cs="Times New Roman"/>
          <w:sz w:val="20"/>
          <w:szCs w:val="20"/>
        </w:rPr>
        <w:t xml:space="preserve"> RAN1 is still discussing whether the common TA </w:t>
      </w:r>
      <w:r w:rsidR="003771F7">
        <w:rPr>
          <w:rFonts w:ascii="Times New Roman" w:hAnsi="Times New Roman" w:cs="Times New Roman"/>
          <w:sz w:val="20"/>
          <w:szCs w:val="20"/>
        </w:rPr>
        <w:t xml:space="preserve">corresponds to the Round Trip Delay between the reference point and the satellite for UL synchronization </w:t>
      </w:r>
      <w:r w:rsidR="00E50FE5" w:rsidRPr="003771F7">
        <w:rPr>
          <w:rFonts w:ascii="Times New Roman" w:hAnsi="Times New Roman" w:cs="Times New Roman"/>
          <w:sz w:val="20"/>
          <w:szCs w:val="20"/>
        </w:rPr>
        <w:t>will be defined in NTN</w:t>
      </w:r>
      <w:r w:rsidR="003771F7">
        <w:rPr>
          <w:rFonts w:ascii="Times New Roman" w:hAnsi="Times New Roman" w:cs="Times New Roman"/>
          <w:sz w:val="20"/>
          <w:szCs w:val="20"/>
        </w:rPr>
        <w:t>, which may impact the TA adjustm</w:t>
      </w:r>
      <w:r w:rsidR="003E00F8">
        <w:rPr>
          <w:rFonts w:ascii="Times New Roman" w:hAnsi="Times New Roman" w:cs="Times New Roman"/>
          <w:sz w:val="20"/>
          <w:szCs w:val="20"/>
        </w:rPr>
        <w:t xml:space="preserve">ent step size. However, </w:t>
      </w:r>
      <w:r w:rsidR="00AF4B2F">
        <w:rPr>
          <w:rFonts w:ascii="Times New Roman" w:hAnsi="Times New Roman" w:cs="Times New Roman"/>
          <w:sz w:val="20"/>
          <w:szCs w:val="20"/>
        </w:rPr>
        <w:t xml:space="preserve">we think the TA adjustment accuracy can be defined as the same </w:t>
      </w:r>
      <w:r w:rsidR="003E00F8">
        <w:rPr>
          <w:rFonts w:ascii="Times New Roman" w:hAnsi="Times New Roman" w:cs="Times New Roman"/>
          <w:sz w:val="20"/>
          <w:szCs w:val="20"/>
        </w:rPr>
        <w:t xml:space="preserve">ratio of the TA adjustment step size </w:t>
      </w:r>
      <w:r w:rsidR="00AF4B2F">
        <w:rPr>
          <w:rFonts w:ascii="Times New Roman" w:hAnsi="Times New Roman" w:cs="Times New Roman"/>
          <w:sz w:val="20"/>
          <w:szCs w:val="20"/>
        </w:rPr>
        <w:t>(</w:t>
      </w:r>
      <w:r w:rsidR="00AF4B2F" w:rsidRPr="003771F7">
        <w:rPr>
          <w:rFonts w:ascii="Times New Roman" w:hAnsi="Times New Roman" w:cs="Times New Roman"/>
          <w:sz w:val="20"/>
          <w:szCs w:val="20"/>
        </w:rPr>
        <w:t>±1/4 of TA adjustment step</w:t>
      </w:r>
      <w:r w:rsidR="00AF4B2F">
        <w:rPr>
          <w:rFonts w:ascii="Times New Roman" w:hAnsi="Times New Roman" w:cs="Times New Roman"/>
          <w:sz w:val="20"/>
          <w:szCs w:val="20"/>
        </w:rPr>
        <w:t xml:space="preserve">) </w:t>
      </w:r>
      <w:r w:rsidR="003354BC">
        <w:rPr>
          <w:rFonts w:ascii="Times New Roman" w:hAnsi="Times New Roman" w:cs="Times New Roman"/>
          <w:sz w:val="20"/>
          <w:szCs w:val="20"/>
        </w:rPr>
        <w:t>specified for legacy NR</w:t>
      </w:r>
      <w:r w:rsidR="003E00F8">
        <w:rPr>
          <w:rFonts w:ascii="Times New Roman" w:hAnsi="Times New Roman" w:cs="Times New Roman"/>
          <w:sz w:val="20"/>
          <w:szCs w:val="20"/>
        </w:rPr>
        <w:t>.</w:t>
      </w:r>
    </w:p>
    <w:p w:rsidR="000B20B7" w:rsidRPr="003354BC" w:rsidRDefault="00AF4B2F" w:rsidP="003354BC">
      <w:pPr>
        <w:spacing w:before="240" w:after="240"/>
        <w:rPr>
          <w:rFonts w:ascii="Times New Roman" w:hAnsi="Times New Roman" w:cs="Times New Roman"/>
          <w:b/>
          <w:sz w:val="20"/>
          <w:szCs w:val="20"/>
        </w:rPr>
      </w:pPr>
      <w:r w:rsidRPr="003354BC">
        <w:rPr>
          <w:rFonts w:ascii="Times New Roman" w:hAnsi="Times New Roman" w:cs="Times New Roman"/>
          <w:b/>
          <w:sz w:val="20"/>
          <w:szCs w:val="20"/>
        </w:rPr>
        <w:t>Observation 2: The TA adjustment accuracy requirement depends on whether the common TA mechanism is introduced or not, which is being discussed in RAN1.</w:t>
      </w:r>
    </w:p>
    <w:p w:rsidR="000B20B7" w:rsidRPr="00854440" w:rsidRDefault="00AF4B2F" w:rsidP="00854440">
      <w:pPr>
        <w:spacing w:before="240" w:after="240"/>
        <w:rPr>
          <w:rFonts w:ascii="Times New Roman" w:hAnsi="Times New Roman" w:cs="Times New Roman"/>
          <w:b/>
          <w:sz w:val="20"/>
          <w:szCs w:val="20"/>
        </w:rPr>
      </w:pPr>
      <w:r w:rsidRPr="003354BC">
        <w:rPr>
          <w:rFonts w:ascii="Times New Roman" w:hAnsi="Times New Roman" w:cs="Times New Roman"/>
          <w:b/>
          <w:sz w:val="20"/>
          <w:szCs w:val="20"/>
        </w:rPr>
        <w:t xml:space="preserve">Proposal 2: </w:t>
      </w:r>
      <w:r w:rsidR="003354BC" w:rsidRPr="003354BC">
        <w:rPr>
          <w:rFonts w:ascii="Times New Roman" w:hAnsi="Times New Roman" w:cs="Times New Roman"/>
          <w:b/>
          <w:sz w:val="20"/>
          <w:szCs w:val="20"/>
        </w:rPr>
        <w:t>the TA adjustment accuracy can be defined as the same ratio of the TA adjustment step size (±1/4 of TA adjustment step) specified for legacy NR</w:t>
      </w:r>
      <w:r w:rsidRPr="003354BC">
        <w:rPr>
          <w:rFonts w:ascii="Times New Roman" w:hAnsi="Times New Roman" w:cs="Times New Roman"/>
          <w:b/>
          <w:sz w:val="20"/>
          <w:szCs w:val="20"/>
        </w:rPr>
        <w:t>.</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w:t>
      </w:r>
      <w:r w:rsidR="00854440">
        <w:rPr>
          <w:rFonts w:ascii="Times New Roman" w:hAnsi="Times New Roman" w:cs="Times New Roman"/>
          <w:sz w:val="20"/>
          <w:szCs w:val="20"/>
        </w:rPr>
        <w:t>this contribution, we discussed the timing related requirements for NR NTN system</w:t>
      </w:r>
      <w:r>
        <w:rPr>
          <w:rFonts w:ascii="Times New Roman" w:hAnsi="Times New Roman" w:cs="Times New Roman"/>
          <w:sz w:val="20"/>
          <w:szCs w:val="20"/>
        </w:rPr>
        <w:t xml:space="preserve"> and provide our proposals</w:t>
      </w:r>
      <w:r w:rsidR="00854440">
        <w:rPr>
          <w:rFonts w:ascii="Times New Roman" w:hAnsi="Times New Roman" w:cs="Times New Roman"/>
          <w:sz w:val="20"/>
          <w:szCs w:val="20"/>
        </w:rPr>
        <w:t xml:space="preserve"> as follows</w:t>
      </w:r>
      <w:r>
        <w:rPr>
          <w:rFonts w:ascii="Times New Roman" w:hAnsi="Times New Roman" w:cs="Times New Roman"/>
          <w:sz w:val="20"/>
          <w:szCs w:val="20"/>
        </w:rPr>
        <w:t>.</w:t>
      </w:r>
    </w:p>
    <w:p w:rsidR="00854440" w:rsidRPr="00385FC6" w:rsidRDefault="00854440" w:rsidP="00854440">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The accuracy of UE specific TA estimation may depend on the accuracy of GNSS </w:t>
      </w:r>
      <w:r w:rsidRPr="00385FC6">
        <w:rPr>
          <w:rFonts w:ascii="Times New Roman" w:hAnsi="Times New Roman" w:cs="Times New Roman"/>
          <w:b/>
          <w:sz w:val="20"/>
          <w:szCs w:val="20"/>
        </w:rPr>
        <w:lastRenderedPageBreak/>
        <w:t>positioning and the accuracy of ephemeris information calculation.</w:t>
      </w:r>
    </w:p>
    <w:p w:rsidR="00854440" w:rsidRDefault="00854440" w:rsidP="00854440">
      <w:pPr>
        <w:spacing w:after="240"/>
        <w:rPr>
          <w:rFonts w:ascii="Times New Roman" w:hAnsi="Times New Roman" w:cs="Times New Roman"/>
          <w:b/>
          <w:sz w:val="20"/>
          <w:szCs w:val="20"/>
        </w:rPr>
      </w:pPr>
      <w:r w:rsidRPr="00385FC6">
        <w:rPr>
          <w:rFonts w:ascii="Times New Roman" w:hAnsi="Times New Roman" w:cs="Times New Roman"/>
          <w:b/>
          <w:sz w:val="20"/>
          <w:szCs w:val="20"/>
        </w:rPr>
        <w:t>Proposal 1: RAN4 is to introduce the accuracy requirement for the UE specific TA estimation for an NTN UE in RRC_idle and RRC_inactive mode.</w:t>
      </w:r>
    </w:p>
    <w:p w:rsidR="00854440" w:rsidRPr="003354BC" w:rsidRDefault="00854440" w:rsidP="00854440">
      <w:pPr>
        <w:spacing w:before="240" w:after="240"/>
        <w:rPr>
          <w:rFonts w:ascii="Times New Roman" w:hAnsi="Times New Roman" w:cs="Times New Roman"/>
          <w:b/>
          <w:sz w:val="20"/>
          <w:szCs w:val="20"/>
        </w:rPr>
      </w:pPr>
      <w:r w:rsidRPr="003354BC">
        <w:rPr>
          <w:rFonts w:ascii="Times New Roman" w:hAnsi="Times New Roman" w:cs="Times New Roman"/>
          <w:b/>
          <w:sz w:val="20"/>
          <w:szCs w:val="20"/>
        </w:rPr>
        <w:t>Observation 2: The TA adjustment accuracy requirement depends on whether the common TA mechanism is introduced or not, which is being discussed in RAN1.</w:t>
      </w:r>
    </w:p>
    <w:p w:rsidR="00854440" w:rsidRPr="00854440" w:rsidRDefault="00854440" w:rsidP="00854440">
      <w:pPr>
        <w:spacing w:before="240" w:after="240"/>
        <w:rPr>
          <w:rFonts w:ascii="Times New Roman" w:hAnsi="Times New Roman" w:cs="Times New Roman"/>
          <w:b/>
          <w:sz w:val="20"/>
          <w:szCs w:val="20"/>
        </w:rPr>
      </w:pPr>
      <w:r w:rsidRPr="003354BC">
        <w:rPr>
          <w:rFonts w:ascii="Times New Roman" w:hAnsi="Times New Roman" w:cs="Times New Roman"/>
          <w:b/>
          <w:sz w:val="20"/>
          <w:szCs w:val="20"/>
        </w:rPr>
        <w:t>Proposal 2: the TA adjustment accuracy can be defined as the same ratio of the TA adjustment step size (±1/4 of TA adjustment step) specified for legacy NR.</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Pr>
          <w:rFonts w:ascii="Times New Roman" w:hAnsi="Times New Roman" w:cs="Times New Roman"/>
          <w:sz w:val="20"/>
          <w:szCs w:val="20"/>
        </w:rPr>
        <w:t>-20</w:t>
      </w:r>
      <w:r w:rsidR="00854440">
        <w:rPr>
          <w:rFonts w:ascii="Times New Roman" w:hAnsi="Times New Roman" w:cs="Times New Roman"/>
          <w:sz w:val="20"/>
          <w:szCs w:val="20"/>
        </w:rPr>
        <w:t>17350</w:t>
      </w:r>
      <w:r>
        <w:rPr>
          <w:rFonts w:ascii="Times New Roman" w:hAnsi="Times New Roman" w:cs="Times New Roman"/>
          <w:sz w:val="20"/>
          <w:szCs w:val="20"/>
        </w:rPr>
        <w:tab/>
      </w:r>
      <w:r w:rsidR="00854440" w:rsidRPr="00854440">
        <w:rPr>
          <w:rFonts w:ascii="Times New Roman" w:hAnsi="Times New Roman" w:cs="Times New Roman"/>
          <w:sz w:val="20"/>
          <w:szCs w:val="20"/>
        </w:rPr>
        <w:t>WF on NR NTN RRM requirements</w:t>
      </w:r>
      <w:r>
        <w:rPr>
          <w:rFonts w:ascii="Times New Roman" w:hAnsi="Times New Roman" w:cs="Times New Roman"/>
          <w:sz w:val="20"/>
          <w:szCs w:val="20"/>
        </w:rPr>
        <w:t xml:space="preserve">, </w:t>
      </w:r>
      <w:r w:rsidR="00854440">
        <w:rPr>
          <w:rFonts w:ascii="Times New Roman" w:hAnsi="Times New Roman" w:cs="Times New Roman"/>
          <w:sz w:val="20"/>
          <w:szCs w:val="20"/>
        </w:rPr>
        <w:t>Thales</w:t>
      </w:r>
    </w:p>
    <w:p w:rsidR="00883B49" w:rsidRPr="00D851E7" w:rsidRDefault="00883B49" w:rsidP="006A69F0">
      <w:pPr>
        <w:rPr>
          <w:rFonts w:ascii="Times New Roman" w:hAnsi="Times New Roman" w:cs="Times New Roman"/>
          <w:sz w:val="20"/>
          <w:szCs w:val="20"/>
        </w:rPr>
      </w:pP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CE5" w:rsidRDefault="00892CE5" w:rsidP="0054389C">
      <w:r>
        <w:separator/>
      </w:r>
    </w:p>
  </w:endnote>
  <w:endnote w:type="continuationSeparator" w:id="0">
    <w:p w:rsidR="00892CE5" w:rsidRDefault="00892CE5"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CE5" w:rsidRDefault="00892CE5" w:rsidP="0054389C">
      <w:r>
        <w:separator/>
      </w:r>
    </w:p>
  </w:footnote>
  <w:footnote w:type="continuationSeparator" w:id="0">
    <w:p w:rsidR="00892CE5" w:rsidRDefault="00892CE5"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pt;height:74.9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3"/>
  </w:num>
  <w:num w:numId="4">
    <w:abstractNumId w:val="2"/>
  </w:num>
  <w:num w:numId="5">
    <w:abstractNumId w:val="6"/>
  </w:num>
  <w:num w:numId="6">
    <w:abstractNumId w:val="7"/>
  </w:num>
  <w:num w:numId="7">
    <w:abstractNumId w:val="1"/>
  </w:num>
  <w:num w:numId="8">
    <w:abstractNumId w:val="5"/>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24DE8"/>
    <w:rsid w:val="00072D64"/>
    <w:rsid w:val="00073B49"/>
    <w:rsid w:val="00080B73"/>
    <w:rsid w:val="000B20B7"/>
    <w:rsid w:val="000D163E"/>
    <w:rsid w:val="000F209F"/>
    <w:rsid w:val="00121471"/>
    <w:rsid w:val="001D0568"/>
    <w:rsid w:val="001E1626"/>
    <w:rsid w:val="00200158"/>
    <w:rsid w:val="00203D4A"/>
    <w:rsid w:val="00280D74"/>
    <w:rsid w:val="003354BC"/>
    <w:rsid w:val="003771F7"/>
    <w:rsid w:val="00385FC6"/>
    <w:rsid w:val="003B1F6C"/>
    <w:rsid w:val="003D151D"/>
    <w:rsid w:val="003E00F8"/>
    <w:rsid w:val="004078C7"/>
    <w:rsid w:val="00467C66"/>
    <w:rsid w:val="0049439B"/>
    <w:rsid w:val="004E2808"/>
    <w:rsid w:val="00543855"/>
    <w:rsid w:val="0054389C"/>
    <w:rsid w:val="00597FEE"/>
    <w:rsid w:val="006A69F0"/>
    <w:rsid w:val="006D7986"/>
    <w:rsid w:val="007070F1"/>
    <w:rsid w:val="00854440"/>
    <w:rsid w:val="00883B49"/>
    <w:rsid w:val="00892CE5"/>
    <w:rsid w:val="00896E69"/>
    <w:rsid w:val="00914480"/>
    <w:rsid w:val="00922944"/>
    <w:rsid w:val="00927F9D"/>
    <w:rsid w:val="00947FF9"/>
    <w:rsid w:val="00972393"/>
    <w:rsid w:val="00990428"/>
    <w:rsid w:val="009E3E5F"/>
    <w:rsid w:val="009F31C5"/>
    <w:rsid w:val="009F680C"/>
    <w:rsid w:val="00A07EBF"/>
    <w:rsid w:val="00A11EC7"/>
    <w:rsid w:val="00A16533"/>
    <w:rsid w:val="00A25064"/>
    <w:rsid w:val="00AF4B2F"/>
    <w:rsid w:val="00B178E0"/>
    <w:rsid w:val="00BC06A8"/>
    <w:rsid w:val="00BF1EFC"/>
    <w:rsid w:val="00C00804"/>
    <w:rsid w:val="00C07503"/>
    <w:rsid w:val="00C21AD5"/>
    <w:rsid w:val="00C21ECC"/>
    <w:rsid w:val="00CA029F"/>
    <w:rsid w:val="00CA22C7"/>
    <w:rsid w:val="00CF4029"/>
    <w:rsid w:val="00D568EC"/>
    <w:rsid w:val="00D70A41"/>
    <w:rsid w:val="00D80C09"/>
    <w:rsid w:val="00D851E7"/>
    <w:rsid w:val="00DD2A2B"/>
    <w:rsid w:val="00DE3D3B"/>
    <w:rsid w:val="00DE541F"/>
    <w:rsid w:val="00E22AFE"/>
    <w:rsid w:val="00E41564"/>
    <w:rsid w:val="00E50FE5"/>
    <w:rsid w:val="00EA75AF"/>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1B38A"/>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1876850151">
          <w:marLeft w:val="360"/>
          <w:marRight w:val="0"/>
          <w:marTop w:val="2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80107880">
          <w:marLeft w:val="1800"/>
          <w:marRight w:val="0"/>
          <w:marTop w:val="1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1667</TotalTime>
  <Pages>3</Pages>
  <Words>784</Words>
  <Characters>4469</Characters>
  <Application>Microsoft Office Word</Application>
  <DocSecurity>0</DocSecurity>
  <Lines>37</Lines>
  <Paragraphs>10</Paragraphs>
  <ScaleCrop>false</ScaleCrop>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cp:revision>
  <dcterms:created xsi:type="dcterms:W3CDTF">2020-12-18T08:31:00Z</dcterms:created>
  <dcterms:modified xsi:type="dcterms:W3CDTF">2021-01-15T12:31:00Z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